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BFF" w:rsidRPr="00B53CAE" w:rsidRDefault="00596BFF" w:rsidP="00596BFF">
      <w:pPr>
        <w:rPr>
          <w:b/>
          <w:sz w:val="24"/>
          <w:szCs w:val="24"/>
          <w:u w:val="single"/>
        </w:rPr>
      </w:pPr>
      <w:r w:rsidRPr="00B53CAE">
        <w:rPr>
          <w:b/>
          <w:sz w:val="24"/>
          <w:szCs w:val="24"/>
          <w:u w:val="single"/>
        </w:rPr>
        <w:t>DECLARATION OF READINESS FOR VESSEL INSPECTION</w:t>
      </w:r>
    </w:p>
    <w:p w:rsidR="00596BFF" w:rsidRPr="00B53CAE" w:rsidRDefault="00596BFF" w:rsidP="00596BFF">
      <w:pPr>
        <w:rPr>
          <w:b/>
          <w:sz w:val="24"/>
          <w:szCs w:val="24"/>
          <w:u w:val="single"/>
        </w:rPr>
      </w:pPr>
    </w:p>
    <w:p w:rsidR="00596BFF" w:rsidRPr="00B53CAE" w:rsidRDefault="00596BFF" w:rsidP="00596BFF">
      <w:pPr>
        <w:rPr>
          <w:sz w:val="24"/>
          <w:szCs w:val="24"/>
        </w:rPr>
      </w:pPr>
      <w:r w:rsidRPr="00B53CAE">
        <w:rPr>
          <w:sz w:val="24"/>
          <w:szCs w:val="24"/>
        </w:rPr>
        <w:t>I, The Master of [vessel name] declare that:</w:t>
      </w:r>
    </w:p>
    <w:p w:rsidR="00596BFF" w:rsidRPr="00B53CAE" w:rsidRDefault="00596BFF" w:rsidP="00596BFF">
      <w:pPr>
        <w:rPr>
          <w:sz w:val="24"/>
          <w:szCs w:val="24"/>
        </w:rPr>
      </w:pPr>
    </w:p>
    <w:p w:rsidR="00596BFF" w:rsidRPr="00B53CAE" w:rsidRDefault="00596BFF" w:rsidP="00596BFF">
      <w:pPr>
        <w:rPr>
          <w:sz w:val="24"/>
          <w:szCs w:val="24"/>
        </w:rPr>
      </w:pPr>
      <w:r w:rsidRPr="00B53CAE">
        <w:rPr>
          <w:sz w:val="24"/>
          <w:szCs w:val="24"/>
        </w:rPr>
        <w:t>1. All vessels:</w:t>
      </w:r>
    </w:p>
    <w:p w:rsidR="00596BFF" w:rsidRPr="00B53CAE" w:rsidRDefault="00596BFF" w:rsidP="00596BFF">
      <w:pPr>
        <w:ind w:firstLine="720"/>
        <w:rPr>
          <w:sz w:val="24"/>
          <w:szCs w:val="24"/>
        </w:rPr>
      </w:pPr>
      <w:r w:rsidRPr="00B53CAE">
        <w:rPr>
          <w:sz w:val="24"/>
          <w:szCs w:val="24"/>
        </w:rPr>
        <w:t>a. I have implemented the requirements of MARSEC Level 3, as defined by the Government of Ukraine, from the Turkish Inspection Area to the Ukrainian ports, for inbound vessels, and visa-versa for outbound vessels;</w:t>
      </w:r>
    </w:p>
    <w:p w:rsidR="00596BFF" w:rsidRPr="00B53CAE" w:rsidRDefault="00596BFF" w:rsidP="00596BFF">
      <w:pPr>
        <w:ind w:firstLine="720"/>
        <w:rPr>
          <w:sz w:val="24"/>
          <w:szCs w:val="24"/>
        </w:rPr>
      </w:pPr>
      <w:r w:rsidRPr="00B53CAE">
        <w:rPr>
          <w:sz w:val="24"/>
          <w:szCs w:val="24"/>
        </w:rPr>
        <w:t>b. I ensure that on arrival of the inspection team, the holds and hatches of the ballast tanks will be open and access for the inspection teams will be granted for immediate inspection;</w:t>
      </w:r>
    </w:p>
    <w:p w:rsidR="00596BFF" w:rsidRPr="00B53CAE" w:rsidRDefault="00596BFF" w:rsidP="00596BFF">
      <w:pPr>
        <w:ind w:firstLine="720"/>
        <w:rPr>
          <w:sz w:val="24"/>
          <w:szCs w:val="24"/>
        </w:rPr>
      </w:pPr>
      <w:r w:rsidRPr="00B53CAE">
        <w:rPr>
          <w:sz w:val="24"/>
          <w:szCs w:val="24"/>
        </w:rPr>
        <w:t>c. I will provide all documents required at ANNEX A.</w:t>
      </w:r>
    </w:p>
    <w:p w:rsidR="00596BFF" w:rsidRPr="00B53CAE" w:rsidRDefault="00596BFF" w:rsidP="00596BFF">
      <w:pPr>
        <w:rPr>
          <w:sz w:val="24"/>
          <w:szCs w:val="24"/>
        </w:rPr>
      </w:pPr>
    </w:p>
    <w:p w:rsidR="00596BFF" w:rsidRPr="00B53CAE" w:rsidRDefault="00596BFF" w:rsidP="00596BFF">
      <w:pPr>
        <w:rPr>
          <w:sz w:val="24"/>
          <w:szCs w:val="24"/>
        </w:rPr>
      </w:pPr>
      <w:r w:rsidRPr="00B53CAE">
        <w:rPr>
          <w:sz w:val="24"/>
          <w:szCs w:val="24"/>
        </w:rPr>
        <w:t>2. For vessels conducting fumigation:</w:t>
      </w:r>
    </w:p>
    <w:p w:rsidR="00596BFF" w:rsidRPr="00B53CAE" w:rsidRDefault="00596BFF" w:rsidP="00596BFF">
      <w:pPr>
        <w:ind w:firstLine="720"/>
        <w:rPr>
          <w:sz w:val="24"/>
          <w:szCs w:val="24"/>
        </w:rPr>
      </w:pPr>
      <w:r w:rsidRPr="00B53CAE">
        <w:rPr>
          <w:sz w:val="24"/>
          <w:szCs w:val="24"/>
        </w:rPr>
        <w:t>a. I confirm the fumigation period, stated on the FUMIGATION CERTIFICATE has completed;</w:t>
      </w:r>
    </w:p>
    <w:p w:rsidR="00596BFF" w:rsidRPr="00B53CAE" w:rsidRDefault="00596BFF" w:rsidP="00596BFF">
      <w:pPr>
        <w:ind w:firstLine="720"/>
        <w:rPr>
          <w:sz w:val="24"/>
          <w:szCs w:val="24"/>
        </w:rPr>
      </w:pPr>
      <w:r w:rsidRPr="00B53CAE">
        <w:rPr>
          <w:sz w:val="24"/>
          <w:szCs w:val="24"/>
        </w:rPr>
        <w:t xml:space="preserve">Date and time of completion of fumigation </w:t>
      </w:r>
      <w:r w:rsidRPr="00B53CAE">
        <w:rPr>
          <w:sz w:val="24"/>
          <w:szCs w:val="24"/>
        </w:rPr>
        <w:tab/>
        <w:t>___/___/____   ___:____:___</w:t>
      </w:r>
    </w:p>
    <w:p w:rsidR="00596BFF" w:rsidRPr="00B53CAE" w:rsidRDefault="00596BFF" w:rsidP="00596BFF">
      <w:pPr>
        <w:ind w:firstLine="720"/>
        <w:rPr>
          <w:sz w:val="24"/>
          <w:szCs w:val="24"/>
        </w:rPr>
      </w:pPr>
      <w:r w:rsidRPr="00B53CAE">
        <w:rPr>
          <w:sz w:val="24"/>
          <w:szCs w:val="24"/>
        </w:rPr>
        <w:t xml:space="preserve">Date and time of completion of ventilation </w:t>
      </w:r>
      <w:r w:rsidRPr="00B53CAE">
        <w:rPr>
          <w:sz w:val="24"/>
          <w:szCs w:val="24"/>
        </w:rPr>
        <w:tab/>
        <w:t>___/___/____   ___:____:___</w:t>
      </w:r>
    </w:p>
    <w:p w:rsidR="00596BFF" w:rsidRPr="00B53CAE" w:rsidRDefault="00596BFF" w:rsidP="00596BFF">
      <w:pPr>
        <w:ind w:firstLine="720"/>
        <w:rPr>
          <w:sz w:val="24"/>
          <w:szCs w:val="24"/>
        </w:rPr>
      </w:pPr>
      <w:r w:rsidRPr="00B53CAE">
        <w:rPr>
          <w:sz w:val="24"/>
          <w:szCs w:val="24"/>
        </w:rPr>
        <w:t>(a period of minimum 24 hours following the completion of the fumigation period);</w:t>
      </w:r>
    </w:p>
    <w:p w:rsidR="00596BFF" w:rsidRPr="00B53CAE" w:rsidRDefault="00596BFF" w:rsidP="00596BFF">
      <w:pPr>
        <w:ind w:left="720"/>
        <w:rPr>
          <w:sz w:val="24"/>
          <w:szCs w:val="24"/>
        </w:rPr>
      </w:pPr>
      <w:r w:rsidRPr="00B53CAE">
        <w:rPr>
          <w:sz w:val="24"/>
          <w:szCs w:val="24"/>
        </w:rPr>
        <w:t xml:space="preserve">b. I confirm the residual fumigant level has been tested in accordance with the manual and is below the MPC level of the fumigant. The level was tested using </w:t>
      </w:r>
      <w:r w:rsidR="00E8144B" w:rsidRPr="00E703A4">
        <w:rPr>
          <w:sz w:val="24"/>
          <w:szCs w:val="24"/>
          <w:highlight w:val="yellow"/>
        </w:rPr>
        <w:t xml:space="preserve">Phosphine </w:t>
      </w:r>
      <w:r w:rsidR="00E703A4">
        <w:rPr>
          <w:sz w:val="24"/>
          <w:szCs w:val="24"/>
          <w:highlight w:val="yellow"/>
        </w:rPr>
        <w:t xml:space="preserve">gas detector tubes, </w:t>
      </w:r>
      <w:r w:rsidR="00E703A4" w:rsidRPr="00E703A4">
        <w:rPr>
          <w:sz w:val="24"/>
          <w:szCs w:val="24"/>
          <w:highlight w:val="yellow"/>
        </w:rPr>
        <w:t xml:space="preserve">or other </w:t>
      </w:r>
      <w:r w:rsidRPr="00E703A4">
        <w:rPr>
          <w:sz w:val="24"/>
          <w:szCs w:val="24"/>
          <w:highlight w:val="yellow"/>
        </w:rPr>
        <w:t>appropriate measuring equipment</w:t>
      </w:r>
      <w:r w:rsidR="00E703A4">
        <w:rPr>
          <w:sz w:val="24"/>
          <w:szCs w:val="24"/>
        </w:rPr>
        <w:t>,</w:t>
      </w:r>
      <w:r w:rsidRPr="00B53CAE">
        <w:rPr>
          <w:sz w:val="24"/>
          <w:szCs w:val="24"/>
        </w:rPr>
        <w:t xml:space="preserve"> to measure the residual gasses from fumigation, and a photo or video recording is attached to evidence the test result;</w:t>
      </w:r>
    </w:p>
    <w:p w:rsidR="00596BFF" w:rsidRPr="00B53CAE" w:rsidRDefault="00596BFF" w:rsidP="00596BFF">
      <w:pPr>
        <w:ind w:left="720"/>
        <w:rPr>
          <w:sz w:val="24"/>
          <w:szCs w:val="24"/>
        </w:rPr>
      </w:pPr>
      <w:r w:rsidRPr="00B53CAE">
        <w:rPr>
          <w:sz w:val="24"/>
          <w:szCs w:val="24"/>
        </w:rPr>
        <w:t>c. I confirm that the equipment to conduct a second test, in the presence of the inspectors, will be provided onboard. The equipment will be in good condition, along with the instructions for the use of the equipment (a control test will be conducted by the inspectors);</w:t>
      </w:r>
    </w:p>
    <w:p w:rsidR="00596BFF" w:rsidRPr="00B53CAE" w:rsidRDefault="00596BFF" w:rsidP="00596BFF">
      <w:pPr>
        <w:ind w:left="720"/>
        <w:rPr>
          <w:sz w:val="24"/>
          <w:szCs w:val="24"/>
        </w:rPr>
      </w:pPr>
      <w:r w:rsidRPr="00B53CAE">
        <w:rPr>
          <w:sz w:val="24"/>
          <w:szCs w:val="24"/>
        </w:rPr>
        <w:t xml:space="preserve">d. Notwithstanding the requirements of Paragraph 1b, </w:t>
      </w:r>
      <w:r w:rsidRPr="00B53CAE">
        <w:rPr>
          <w:sz w:val="24"/>
          <w:szCs w:val="24"/>
          <w:u w:val="single"/>
        </w:rPr>
        <w:t>for vessels under fumigation, cargo holds are to be closed whilst the inspection team embarks</w:t>
      </w:r>
      <w:r w:rsidRPr="00B53CAE">
        <w:rPr>
          <w:sz w:val="24"/>
          <w:szCs w:val="24"/>
        </w:rPr>
        <w:t>.</w:t>
      </w:r>
    </w:p>
    <w:p w:rsidR="00596BFF" w:rsidRPr="00B53CAE" w:rsidRDefault="00596BFF" w:rsidP="00596BFF">
      <w:pPr>
        <w:ind w:left="720"/>
        <w:rPr>
          <w:sz w:val="24"/>
          <w:szCs w:val="24"/>
        </w:rPr>
      </w:pPr>
      <w:r w:rsidRPr="00B53CAE">
        <w:rPr>
          <w:sz w:val="24"/>
          <w:szCs w:val="24"/>
        </w:rPr>
        <w:tab/>
      </w:r>
    </w:p>
    <w:p w:rsidR="00596BFF" w:rsidRPr="00B53CAE" w:rsidRDefault="00596BFF" w:rsidP="00596BFF">
      <w:pPr>
        <w:rPr>
          <w:sz w:val="24"/>
          <w:szCs w:val="24"/>
        </w:rPr>
      </w:pPr>
      <w:r w:rsidRPr="00B53CAE">
        <w:rPr>
          <w:sz w:val="24"/>
          <w:szCs w:val="24"/>
        </w:rPr>
        <w:t>I understand that in the case not fulfilling the provisions of this Declaration, or in the case of submission of inaccurate information, the inspection of the vessel will be cancelled and postponed for a week, or will be conducted earlier, if such an opportunity arises (taking into account the current queue for inspections).</w:t>
      </w:r>
    </w:p>
    <w:p w:rsidR="00596BFF" w:rsidRPr="00B53CAE" w:rsidRDefault="00596BFF" w:rsidP="00596BFF">
      <w:pPr>
        <w:rPr>
          <w:sz w:val="24"/>
          <w:szCs w:val="24"/>
        </w:rPr>
      </w:pPr>
    </w:p>
    <w:p w:rsidR="00C23EAD" w:rsidRDefault="00596BFF" w:rsidP="00596BFF">
      <w:pPr>
        <w:rPr>
          <w:sz w:val="24"/>
          <w:szCs w:val="24"/>
        </w:rPr>
      </w:pPr>
      <w:r w:rsidRPr="00B53CAE">
        <w:rPr>
          <w:sz w:val="24"/>
          <w:szCs w:val="24"/>
        </w:rPr>
        <w:t xml:space="preserve">Completed forms should be forwarded to:    </w:t>
      </w:r>
      <w:hyperlink r:id="rId5" w:history="1">
        <w:r w:rsidR="00C23EAD" w:rsidRPr="00CF3571">
          <w:rPr>
            <w:rStyle w:val="Hyperlink"/>
            <w:sz w:val="24"/>
            <w:szCs w:val="24"/>
          </w:rPr>
          <w:t>ops@jcc-secretariat.org</w:t>
        </w:r>
      </w:hyperlink>
    </w:p>
    <w:p w:rsidR="00FA52CF" w:rsidRDefault="00FA52CF" w:rsidP="00596BF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6" w:history="1">
        <w:r w:rsidRPr="00CF3571">
          <w:rPr>
            <w:rStyle w:val="Hyperlink"/>
            <w:sz w:val="24"/>
            <w:szCs w:val="24"/>
          </w:rPr>
          <w:t>watchkeepers@jcc-secretariat.org</w:t>
        </w:r>
      </w:hyperlink>
    </w:p>
    <w:p w:rsidR="004C11EE" w:rsidRDefault="004C11EE" w:rsidP="00596BFF">
      <w:pPr>
        <w:rPr>
          <w:sz w:val="24"/>
          <w:szCs w:val="24"/>
        </w:rPr>
      </w:pPr>
    </w:p>
    <w:tbl>
      <w:tblPr>
        <w:tblStyle w:val="TableGrid"/>
        <w:tblW w:w="0" w:type="auto"/>
        <w:tblLook w:val="04A0" w:firstRow="1" w:lastRow="0" w:firstColumn="1" w:lastColumn="0" w:noHBand="0" w:noVBand="1"/>
      </w:tblPr>
      <w:tblGrid>
        <w:gridCol w:w="9350"/>
      </w:tblGrid>
      <w:tr w:rsidR="00C23EAD" w:rsidTr="00C23EAD">
        <w:tc>
          <w:tcPr>
            <w:tcW w:w="9350" w:type="dxa"/>
          </w:tcPr>
          <w:p w:rsidR="00C23EAD" w:rsidRPr="00E703A4" w:rsidRDefault="00C23EAD" w:rsidP="00C23EAD">
            <w:pPr>
              <w:jc w:val="center"/>
              <w:rPr>
                <w:b/>
                <w:highlight w:val="yellow"/>
                <w:u w:val="single"/>
              </w:rPr>
            </w:pPr>
            <w:r w:rsidRPr="00E703A4">
              <w:rPr>
                <w:b/>
                <w:highlight w:val="yellow"/>
                <w:u w:val="single"/>
              </w:rPr>
              <w:t>Common reasons for failing inspection</w:t>
            </w:r>
          </w:p>
          <w:p w:rsidR="00C23EAD" w:rsidRPr="00E703A4" w:rsidRDefault="00C23EAD" w:rsidP="00C23EAD">
            <w:pPr>
              <w:jc w:val="center"/>
              <w:rPr>
                <w:b/>
                <w:highlight w:val="yellow"/>
                <w:u w:val="single"/>
              </w:rPr>
            </w:pPr>
          </w:p>
          <w:p w:rsidR="00C23EAD" w:rsidRPr="00E703A4" w:rsidRDefault="00C23EAD" w:rsidP="00C23EAD">
            <w:pPr>
              <w:pStyle w:val="ListParagraph"/>
              <w:numPr>
                <w:ilvl w:val="0"/>
                <w:numId w:val="2"/>
              </w:numPr>
              <w:rPr>
                <w:highlight w:val="yellow"/>
              </w:rPr>
            </w:pPr>
            <w:r w:rsidRPr="00E703A4">
              <w:rPr>
                <w:highlight w:val="yellow"/>
              </w:rPr>
              <w:t xml:space="preserve">Fumigation </w:t>
            </w:r>
            <w:r w:rsidR="00610B10" w:rsidRPr="00E703A4">
              <w:rPr>
                <w:highlight w:val="yellow"/>
              </w:rPr>
              <w:t xml:space="preserve">phosphine </w:t>
            </w:r>
            <w:r w:rsidRPr="00E703A4">
              <w:rPr>
                <w:highlight w:val="yellow"/>
              </w:rPr>
              <w:t>test kit tubes – CHECK EXPIRY DATE</w:t>
            </w:r>
          </w:p>
          <w:p w:rsidR="00C23EAD" w:rsidRPr="00E703A4" w:rsidRDefault="00C23EAD" w:rsidP="00C23EAD">
            <w:pPr>
              <w:pStyle w:val="ListParagraph"/>
              <w:rPr>
                <w:highlight w:val="yellow"/>
              </w:rPr>
            </w:pPr>
          </w:p>
          <w:p w:rsidR="00C23EAD" w:rsidRPr="00E703A4" w:rsidRDefault="00DF50B3" w:rsidP="00610B10">
            <w:pPr>
              <w:pStyle w:val="ListParagraph"/>
              <w:numPr>
                <w:ilvl w:val="0"/>
                <w:numId w:val="2"/>
              </w:numPr>
              <w:rPr>
                <w:highlight w:val="yellow"/>
              </w:rPr>
            </w:pPr>
            <w:r w:rsidRPr="00E703A4">
              <w:rPr>
                <w:highlight w:val="yellow"/>
              </w:rPr>
              <w:t>Evidence of f</w:t>
            </w:r>
            <w:r w:rsidR="00C23EAD" w:rsidRPr="00E703A4">
              <w:rPr>
                <w:highlight w:val="yellow"/>
              </w:rPr>
              <w:t xml:space="preserve">umigation and ventilation </w:t>
            </w:r>
            <w:r w:rsidRPr="00E703A4">
              <w:rPr>
                <w:highlight w:val="yellow"/>
              </w:rPr>
              <w:t>missing</w:t>
            </w:r>
            <w:r w:rsidR="00C23EAD" w:rsidRPr="00E703A4">
              <w:rPr>
                <w:highlight w:val="yellow"/>
              </w:rPr>
              <w:t xml:space="preserve"> – CHECK SHIP</w:t>
            </w:r>
            <w:r w:rsidR="00610B10" w:rsidRPr="00E703A4">
              <w:rPr>
                <w:highlight w:val="yellow"/>
              </w:rPr>
              <w:t>S</w:t>
            </w:r>
            <w:r w:rsidR="00C23EAD" w:rsidRPr="00E703A4">
              <w:rPr>
                <w:highlight w:val="yellow"/>
              </w:rPr>
              <w:t xml:space="preserve"> LOG</w:t>
            </w:r>
            <w:r w:rsidR="00610B10" w:rsidRPr="00E703A4">
              <w:rPr>
                <w:highlight w:val="yellow"/>
              </w:rPr>
              <w:t xml:space="preserve"> ENTRY HAS BEEN MADE</w:t>
            </w:r>
          </w:p>
          <w:p w:rsidR="00C23EAD" w:rsidRPr="00E703A4" w:rsidRDefault="00C23EAD" w:rsidP="00C23EAD">
            <w:pPr>
              <w:pStyle w:val="ListParagraph"/>
              <w:rPr>
                <w:highlight w:val="yellow"/>
              </w:rPr>
            </w:pPr>
          </w:p>
          <w:p w:rsidR="00610B10" w:rsidRPr="00E703A4" w:rsidRDefault="00C23EAD" w:rsidP="00C23EAD">
            <w:pPr>
              <w:pStyle w:val="ListParagraph"/>
              <w:numPr>
                <w:ilvl w:val="0"/>
                <w:numId w:val="2"/>
              </w:numPr>
              <w:rPr>
                <w:highlight w:val="yellow"/>
              </w:rPr>
            </w:pPr>
            <w:r w:rsidRPr="00E703A4">
              <w:rPr>
                <w:highlight w:val="yellow"/>
              </w:rPr>
              <w:t>Fumigation test not conducted</w:t>
            </w:r>
            <w:r w:rsidR="00610B10" w:rsidRPr="00E703A4">
              <w:rPr>
                <w:highlight w:val="yellow"/>
              </w:rPr>
              <w:t xml:space="preserve"> – ENSURE PHOSPHINE TUBE TEST IS CONDUCTED</w:t>
            </w:r>
          </w:p>
          <w:p w:rsidR="00610B10" w:rsidRPr="00E703A4" w:rsidRDefault="00610B10" w:rsidP="00610B10">
            <w:pPr>
              <w:pStyle w:val="ListParagraph"/>
              <w:rPr>
                <w:highlight w:val="yellow"/>
              </w:rPr>
            </w:pPr>
          </w:p>
          <w:p w:rsidR="00C23EAD" w:rsidRPr="00E703A4" w:rsidRDefault="00610B10" w:rsidP="00C23EAD">
            <w:pPr>
              <w:pStyle w:val="ListParagraph"/>
              <w:numPr>
                <w:ilvl w:val="0"/>
                <w:numId w:val="2"/>
              </w:numPr>
              <w:rPr>
                <w:highlight w:val="yellow"/>
              </w:rPr>
            </w:pPr>
            <w:r w:rsidRPr="00E703A4">
              <w:rPr>
                <w:highlight w:val="yellow"/>
              </w:rPr>
              <w:t>P</w:t>
            </w:r>
            <w:r w:rsidR="00C23EAD" w:rsidRPr="00E703A4">
              <w:rPr>
                <w:highlight w:val="yellow"/>
              </w:rPr>
              <w:t xml:space="preserve">hotographic or video evidence provided </w:t>
            </w:r>
            <w:r w:rsidRPr="00E703A4">
              <w:rPr>
                <w:highlight w:val="yellow"/>
              </w:rPr>
              <w:t xml:space="preserve">of fumigation test </w:t>
            </w:r>
            <w:r w:rsidR="00C23EAD" w:rsidRPr="00E703A4">
              <w:rPr>
                <w:highlight w:val="yellow"/>
              </w:rPr>
              <w:t>–</w:t>
            </w:r>
            <w:r w:rsidR="00875477" w:rsidRPr="00E703A4">
              <w:rPr>
                <w:highlight w:val="yellow"/>
              </w:rPr>
              <w:t xml:space="preserve"> </w:t>
            </w:r>
            <w:r w:rsidR="00C23EAD" w:rsidRPr="00E703A4">
              <w:rPr>
                <w:highlight w:val="yellow"/>
              </w:rPr>
              <w:t>PHOTO</w:t>
            </w:r>
            <w:r w:rsidRPr="00E703A4">
              <w:rPr>
                <w:highlight w:val="yellow"/>
              </w:rPr>
              <w:t xml:space="preserve"> </w:t>
            </w:r>
            <w:r w:rsidR="00C23EAD" w:rsidRPr="00E703A4">
              <w:rPr>
                <w:highlight w:val="yellow"/>
              </w:rPr>
              <w:t>/</w:t>
            </w:r>
            <w:r w:rsidRPr="00E703A4">
              <w:rPr>
                <w:highlight w:val="yellow"/>
              </w:rPr>
              <w:t xml:space="preserve"> </w:t>
            </w:r>
            <w:r w:rsidR="00875477" w:rsidRPr="00E703A4">
              <w:rPr>
                <w:highlight w:val="yellow"/>
              </w:rPr>
              <w:t>VIDEO</w:t>
            </w:r>
          </w:p>
          <w:p w:rsidR="00C23EAD" w:rsidRPr="00E703A4" w:rsidRDefault="00C23EAD" w:rsidP="00C23EAD">
            <w:pPr>
              <w:pStyle w:val="ListParagraph"/>
              <w:rPr>
                <w:highlight w:val="yellow"/>
              </w:rPr>
            </w:pPr>
          </w:p>
          <w:p w:rsidR="00C23EAD" w:rsidRPr="00E703A4" w:rsidRDefault="00610B10" w:rsidP="00C23EAD">
            <w:pPr>
              <w:pStyle w:val="ListParagraph"/>
              <w:numPr>
                <w:ilvl w:val="0"/>
                <w:numId w:val="2"/>
              </w:numPr>
              <w:rPr>
                <w:highlight w:val="yellow"/>
              </w:rPr>
            </w:pPr>
            <w:r w:rsidRPr="00E703A4">
              <w:rPr>
                <w:highlight w:val="yellow"/>
              </w:rPr>
              <w:t>DECLARATION OF READINESS</w:t>
            </w:r>
            <w:r w:rsidR="00C23EAD" w:rsidRPr="00E703A4">
              <w:rPr>
                <w:highlight w:val="yellow"/>
              </w:rPr>
              <w:t xml:space="preserve"> not submitted</w:t>
            </w:r>
            <w:r w:rsidRPr="00E703A4">
              <w:rPr>
                <w:highlight w:val="yellow"/>
              </w:rPr>
              <w:t xml:space="preserve"> – CHECK DECLARATION HAS BEEN SUBMITTED</w:t>
            </w:r>
          </w:p>
          <w:p w:rsidR="00C23EAD" w:rsidRPr="00E703A4" w:rsidRDefault="00C23EAD" w:rsidP="00C23EAD">
            <w:pPr>
              <w:pStyle w:val="ListParagraph"/>
              <w:rPr>
                <w:highlight w:val="yellow"/>
              </w:rPr>
            </w:pPr>
          </w:p>
          <w:p w:rsidR="00C23EAD" w:rsidRPr="00E703A4" w:rsidRDefault="00C23EAD" w:rsidP="00E85E5B">
            <w:pPr>
              <w:pStyle w:val="ListParagraph"/>
              <w:numPr>
                <w:ilvl w:val="0"/>
                <w:numId w:val="2"/>
              </w:numPr>
              <w:rPr>
                <w:highlight w:val="yellow"/>
              </w:rPr>
            </w:pPr>
            <w:r w:rsidRPr="00E703A4">
              <w:rPr>
                <w:highlight w:val="yellow"/>
              </w:rPr>
              <w:t xml:space="preserve">Crew list </w:t>
            </w:r>
            <w:r w:rsidR="00610B10" w:rsidRPr="00E703A4">
              <w:rPr>
                <w:highlight w:val="yellow"/>
              </w:rPr>
              <w:t>from</w:t>
            </w:r>
            <w:r w:rsidRPr="00E703A4">
              <w:rPr>
                <w:highlight w:val="yellow"/>
              </w:rPr>
              <w:t xml:space="preserve"> by agent does not match the masters crew list – CHECK CREW LIST</w:t>
            </w:r>
            <w:r w:rsidR="00610B10" w:rsidRPr="00E703A4">
              <w:rPr>
                <w:highlight w:val="yellow"/>
              </w:rPr>
              <w:t xml:space="preserve">S </w:t>
            </w:r>
            <w:r w:rsidR="000A06C7" w:rsidRPr="00E703A4">
              <w:rPr>
                <w:highlight w:val="yellow"/>
              </w:rPr>
              <w:t>MATCH</w:t>
            </w:r>
          </w:p>
          <w:p w:rsidR="00610B10" w:rsidRPr="00E703A4" w:rsidRDefault="00610B10" w:rsidP="00610B10">
            <w:pPr>
              <w:rPr>
                <w:highlight w:val="yellow"/>
              </w:rPr>
            </w:pPr>
          </w:p>
          <w:p w:rsidR="00C23EAD" w:rsidRPr="00E703A4" w:rsidRDefault="00C23EAD" w:rsidP="00C23EAD">
            <w:pPr>
              <w:pStyle w:val="ListParagraph"/>
              <w:numPr>
                <w:ilvl w:val="0"/>
                <w:numId w:val="2"/>
              </w:numPr>
              <w:rPr>
                <w:highlight w:val="yellow"/>
              </w:rPr>
            </w:pPr>
            <w:r w:rsidRPr="00E703A4">
              <w:rPr>
                <w:highlight w:val="yellow"/>
              </w:rPr>
              <w:t>Ballast tanks not open – OPEN TANKS</w:t>
            </w:r>
          </w:p>
          <w:p w:rsidR="00C23EAD" w:rsidRPr="00E703A4" w:rsidRDefault="00C23EAD" w:rsidP="00C23EAD">
            <w:pPr>
              <w:pStyle w:val="ListParagraph"/>
              <w:rPr>
                <w:highlight w:val="yellow"/>
              </w:rPr>
            </w:pPr>
          </w:p>
          <w:p w:rsidR="00C23EAD" w:rsidRPr="00E703A4" w:rsidRDefault="00C23EAD" w:rsidP="00C23EAD">
            <w:pPr>
              <w:pStyle w:val="ListParagraph"/>
              <w:numPr>
                <w:ilvl w:val="0"/>
                <w:numId w:val="2"/>
              </w:numPr>
              <w:rPr>
                <w:highlight w:val="yellow"/>
              </w:rPr>
            </w:pPr>
            <w:r w:rsidRPr="00E703A4">
              <w:rPr>
                <w:highlight w:val="yellow"/>
              </w:rPr>
              <w:t>Failure to respond to JCC letter of N</w:t>
            </w:r>
            <w:r w:rsidR="00610B10" w:rsidRPr="00E703A4">
              <w:rPr>
                <w:highlight w:val="yellow"/>
              </w:rPr>
              <w:t>on</w:t>
            </w:r>
            <w:r w:rsidRPr="00E703A4">
              <w:rPr>
                <w:highlight w:val="yellow"/>
              </w:rPr>
              <w:t>-</w:t>
            </w:r>
            <w:r w:rsidR="00610B10" w:rsidRPr="00E703A4">
              <w:rPr>
                <w:highlight w:val="yellow"/>
              </w:rPr>
              <w:t>Compliance – ENSURE FULL REPLY HAS BEEN SENT</w:t>
            </w:r>
          </w:p>
          <w:p w:rsidR="00C23EAD" w:rsidRDefault="00C23EAD">
            <w:pPr>
              <w:rPr>
                <w:sz w:val="24"/>
                <w:szCs w:val="24"/>
              </w:rPr>
            </w:pPr>
          </w:p>
        </w:tc>
      </w:tr>
    </w:tbl>
    <w:p w:rsidR="00596BFF" w:rsidRPr="00B53CAE" w:rsidRDefault="00C23EAD" w:rsidP="00596BFF">
      <w:pPr>
        <w:rPr>
          <w:sz w:val="24"/>
          <w:szCs w:val="24"/>
        </w:rPr>
      </w:pPr>
      <w:r>
        <w:rPr>
          <w:sz w:val="24"/>
          <w:szCs w:val="24"/>
        </w:rPr>
        <w:br w:type="page"/>
      </w:r>
    </w:p>
    <w:p w:rsidR="00596BFF" w:rsidRPr="00B53CAE" w:rsidRDefault="00596BFF" w:rsidP="00596BFF">
      <w:pPr>
        <w:jc w:val="right"/>
        <w:rPr>
          <w:rFonts w:ascii="Times New Roman" w:hAnsi="Times New Roman" w:cs="Times New Roman"/>
          <w:b/>
          <w:bCs/>
          <w:sz w:val="24"/>
          <w:szCs w:val="24"/>
        </w:rPr>
      </w:pPr>
      <w:r w:rsidRPr="00B53CAE">
        <w:rPr>
          <w:rFonts w:ascii="Times New Roman" w:hAnsi="Times New Roman" w:cs="Times New Roman"/>
          <w:b/>
          <w:bCs/>
          <w:sz w:val="24"/>
          <w:szCs w:val="24"/>
        </w:rPr>
        <w:t>ANNEX A</w:t>
      </w:r>
    </w:p>
    <w:p w:rsidR="00596BFF" w:rsidRPr="00B53CAE" w:rsidRDefault="00596BFF" w:rsidP="00596BFF">
      <w:pPr>
        <w:jc w:val="center"/>
        <w:rPr>
          <w:rFonts w:ascii="Times New Roman" w:hAnsi="Times New Roman" w:cs="Times New Roman"/>
          <w:b/>
          <w:bCs/>
          <w:sz w:val="24"/>
          <w:szCs w:val="24"/>
          <w:u w:val="single"/>
        </w:rPr>
      </w:pPr>
      <w:r w:rsidRPr="00B53CAE">
        <w:rPr>
          <w:rFonts w:ascii="Times New Roman" w:hAnsi="Times New Roman" w:cs="Times New Roman"/>
          <w:b/>
          <w:bCs/>
          <w:sz w:val="24"/>
          <w:szCs w:val="24"/>
          <w:u w:val="single"/>
        </w:rPr>
        <w:t>JCC Document Inspection Checklist</w:t>
      </w:r>
    </w:p>
    <w:p w:rsidR="00596BFF" w:rsidRPr="00B53CAE" w:rsidRDefault="00596BFF" w:rsidP="00596BFF">
      <w:pPr>
        <w:jc w:val="center"/>
        <w:rPr>
          <w:rFonts w:ascii="Times New Roman" w:hAnsi="Times New Roman" w:cs="Times New Roman"/>
          <w:sz w:val="24"/>
          <w:szCs w:val="24"/>
          <w:u w:val="single"/>
        </w:rPr>
      </w:pP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General Arrangements / Ships Plans</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Ship’s particulars</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Crew list on arrival</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Port clearance from last port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Departure crew list from last port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Stores list on arrival</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Stores list on departure from last port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Bunker delivery report (last)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List of last 10 ports of call</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Inbound vessels - Passage Plan from last port of call to Istanbul</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Oil Record Book Part I – Copies of last page (to all parties-four copies)</w:t>
      </w:r>
    </w:p>
    <w:p w:rsidR="00596BFF" w:rsidRPr="00B53CAE" w:rsidRDefault="00596BFF" w:rsidP="00596BFF">
      <w:pPr>
        <w:pStyle w:val="ListParagraph"/>
        <w:spacing w:before="60" w:after="60" w:line="240" w:lineRule="auto"/>
        <w:jc w:val="both"/>
        <w:rPr>
          <w:rFonts w:ascii="Times New Roman" w:hAnsi="Times New Roman" w:cs="Times New Roman"/>
          <w:sz w:val="24"/>
          <w:szCs w:val="24"/>
        </w:rPr>
      </w:pPr>
      <w:r w:rsidRPr="00B53CAE">
        <w:rPr>
          <w:rFonts w:ascii="Times New Roman" w:hAnsi="Times New Roman" w:cs="Times New Roman"/>
          <w:sz w:val="24"/>
          <w:szCs w:val="24"/>
        </w:rPr>
        <w:t>11.1. Page with records of last bunkering</w:t>
      </w:r>
    </w:p>
    <w:p w:rsidR="00596BFF" w:rsidRPr="00B53CAE" w:rsidRDefault="00596BFF" w:rsidP="00596BFF">
      <w:pPr>
        <w:spacing w:before="60" w:after="60" w:line="240" w:lineRule="auto"/>
        <w:ind w:left="720"/>
        <w:jc w:val="both"/>
        <w:rPr>
          <w:rFonts w:ascii="Times New Roman" w:hAnsi="Times New Roman" w:cs="Times New Roman"/>
          <w:sz w:val="24"/>
          <w:szCs w:val="24"/>
        </w:rPr>
      </w:pPr>
      <w:r w:rsidRPr="00B53CAE">
        <w:rPr>
          <w:rFonts w:ascii="Times New Roman" w:hAnsi="Times New Roman" w:cs="Times New Roman"/>
          <w:sz w:val="24"/>
          <w:szCs w:val="24"/>
        </w:rPr>
        <w:t>11.2. Page on departure from last port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Logbook (copies to JCC pre-inspection)</w:t>
      </w:r>
    </w:p>
    <w:p w:rsidR="00596BFF" w:rsidRPr="00B53CAE" w:rsidRDefault="00596BFF" w:rsidP="00596BFF">
      <w:pPr>
        <w:pStyle w:val="ListParagraph"/>
        <w:spacing w:before="60" w:after="60" w:line="240" w:lineRule="auto"/>
        <w:jc w:val="both"/>
        <w:rPr>
          <w:rFonts w:ascii="Times New Roman" w:hAnsi="Times New Roman" w:cs="Times New Roman"/>
          <w:sz w:val="24"/>
          <w:szCs w:val="24"/>
        </w:rPr>
      </w:pPr>
      <w:r w:rsidRPr="00B53CAE">
        <w:rPr>
          <w:rFonts w:ascii="Times New Roman" w:hAnsi="Times New Roman" w:cs="Times New Roman"/>
          <w:sz w:val="24"/>
          <w:szCs w:val="24"/>
        </w:rPr>
        <w:t>12.1. Last page</w:t>
      </w:r>
    </w:p>
    <w:p w:rsidR="00596BFF" w:rsidRPr="00B53CAE" w:rsidRDefault="00596BFF" w:rsidP="00596BFF">
      <w:pPr>
        <w:pStyle w:val="ListParagraph"/>
        <w:spacing w:before="60" w:after="60" w:line="240" w:lineRule="auto"/>
        <w:jc w:val="both"/>
        <w:rPr>
          <w:rFonts w:ascii="Times New Roman" w:hAnsi="Times New Roman" w:cs="Times New Roman"/>
          <w:sz w:val="24"/>
          <w:szCs w:val="24"/>
        </w:rPr>
      </w:pPr>
      <w:r w:rsidRPr="00B53CAE">
        <w:rPr>
          <w:rFonts w:ascii="Times New Roman" w:hAnsi="Times New Roman" w:cs="Times New Roman"/>
          <w:sz w:val="24"/>
          <w:szCs w:val="24"/>
        </w:rPr>
        <w:t>12.2. Page on departure from last port</w:t>
      </w:r>
    </w:p>
    <w:p w:rsidR="00596BFF" w:rsidRPr="00B53CAE" w:rsidRDefault="00596BFF" w:rsidP="00596BFF">
      <w:pPr>
        <w:pStyle w:val="ListParagraph"/>
        <w:spacing w:before="60" w:after="60" w:line="240" w:lineRule="auto"/>
        <w:jc w:val="both"/>
        <w:rPr>
          <w:rFonts w:ascii="Times New Roman" w:hAnsi="Times New Roman" w:cs="Times New Roman"/>
          <w:sz w:val="24"/>
          <w:szCs w:val="24"/>
        </w:rPr>
      </w:pPr>
      <w:r w:rsidRPr="00B53CAE">
        <w:rPr>
          <w:rFonts w:ascii="Times New Roman" w:hAnsi="Times New Roman" w:cs="Times New Roman"/>
          <w:sz w:val="24"/>
          <w:szCs w:val="24"/>
        </w:rPr>
        <w:t>12.3. Page with bunkering operations</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Voyage order</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Cargo plan</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Cargo manifest</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Certificate of Registry</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Document of Compliance</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International Ship Security Certificate</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Continuous Synopsis Record</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International Tonnage Certificate</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Load Line Certificate</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Minimum Manning Certificate</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Statement of Compliance Cargo in Bulk (MARPOL Annex III)</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Relevant to the carriage of grain in compliance with IMO resolution</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Attestation</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Compliance to fuel oil consumption reporting</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Compliance of inventory of hazardous materials</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Bills of Lading</w:t>
      </w:r>
    </w:p>
    <w:p w:rsidR="00596BFF" w:rsidRPr="00B53CAE" w:rsidRDefault="00596BFF" w:rsidP="00596BFF">
      <w:pPr>
        <w:pStyle w:val="ListParagraph"/>
        <w:numPr>
          <w:ilvl w:val="0"/>
          <w:numId w:val="1"/>
        </w:numPr>
        <w:spacing w:before="60" w:after="60"/>
        <w:jc w:val="both"/>
        <w:rPr>
          <w:rFonts w:ascii="Times New Roman" w:hAnsi="Times New Roman" w:cs="Times New Roman"/>
          <w:sz w:val="24"/>
          <w:szCs w:val="24"/>
        </w:rPr>
      </w:pPr>
      <w:r w:rsidRPr="00B53CAE">
        <w:rPr>
          <w:rFonts w:ascii="Times New Roman" w:hAnsi="Times New Roman" w:cs="Times New Roman"/>
          <w:sz w:val="24"/>
          <w:szCs w:val="24"/>
        </w:rPr>
        <w:t>Passports/Seaman Books</w:t>
      </w:r>
    </w:p>
    <w:p w:rsidR="00596BFF" w:rsidRPr="00875477" w:rsidRDefault="00596BFF"/>
    <w:sectPr w:rsidR="00596BFF" w:rsidRPr="0087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642"/>
    <w:multiLevelType w:val="hybridMultilevel"/>
    <w:tmpl w:val="773A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91F"/>
    <w:multiLevelType w:val="hybridMultilevel"/>
    <w:tmpl w:val="AB1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790141">
    <w:abstractNumId w:val="0"/>
  </w:num>
  <w:num w:numId="2" w16cid:durableId="123208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FF"/>
    <w:rsid w:val="0001393A"/>
    <w:rsid w:val="000A06C7"/>
    <w:rsid w:val="00224FAF"/>
    <w:rsid w:val="003A55CE"/>
    <w:rsid w:val="004C11EE"/>
    <w:rsid w:val="00563DB9"/>
    <w:rsid w:val="00596BFF"/>
    <w:rsid w:val="00610B10"/>
    <w:rsid w:val="00875477"/>
    <w:rsid w:val="009431F0"/>
    <w:rsid w:val="00B53CAE"/>
    <w:rsid w:val="00C23EAD"/>
    <w:rsid w:val="00C933BB"/>
    <w:rsid w:val="00DF50B3"/>
    <w:rsid w:val="00E703A4"/>
    <w:rsid w:val="00E8144B"/>
    <w:rsid w:val="00F16199"/>
    <w:rsid w:val="00FA52CF"/>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DB5C"/>
  <w15:chartTrackingRefBased/>
  <w15:docId w15:val="{A577A528-6E2C-4FE5-A2A1-29B4C0D0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FF"/>
    <w:pPr>
      <w:ind w:left="720"/>
      <w:contextualSpacing/>
    </w:pPr>
  </w:style>
  <w:style w:type="character" w:styleId="Hyperlink">
    <w:name w:val="Hyperlink"/>
    <w:basedOn w:val="DefaultParagraphFont"/>
    <w:uiPriority w:val="99"/>
    <w:unhideWhenUsed/>
    <w:rsid w:val="00B53CAE"/>
    <w:rPr>
      <w:color w:val="0563C1" w:themeColor="hyperlink"/>
      <w:u w:val="single"/>
    </w:rPr>
  </w:style>
  <w:style w:type="table" w:styleId="TableGrid">
    <w:name w:val="Table Grid"/>
    <w:basedOn w:val="TableNormal"/>
    <w:uiPriority w:val="39"/>
    <w:rsid w:val="0094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chkeepers@jcc-secretariat.org" TargetMode="External"/><Relationship Id="rId5" Type="http://schemas.openxmlformats.org/officeDocument/2006/relationships/hyperlink" Target="mailto:ops@jcc-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CMHM04</dc:creator>
  <cp:keywords/>
  <dc:description/>
  <cp:lastModifiedBy>Neena Pereira</cp:lastModifiedBy>
  <cp:revision>1</cp:revision>
  <cp:lastPrinted>2022-10-06T06:14:00Z</cp:lastPrinted>
  <dcterms:created xsi:type="dcterms:W3CDTF">2022-11-07T09:23:00Z</dcterms:created>
  <dcterms:modified xsi:type="dcterms:W3CDTF">2022-11-07T09:23:00Z</dcterms:modified>
</cp:coreProperties>
</file>